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578" w:rsidRDefault="00396578" w:rsidP="00396578">
      <w:pPr>
        <w:jc w:val="center"/>
        <w:rPr>
          <w:b/>
          <w:sz w:val="24"/>
          <w:szCs w:val="22"/>
        </w:rPr>
      </w:pPr>
    </w:p>
    <w:p w:rsidR="00396578" w:rsidRDefault="00396578" w:rsidP="00934F9B">
      <w:pPr>
        <w:jc w:val="center"/>
        <w:rPr>
          <w:b/>
          <w:bCs/>
          <w:iCs/>
          <w:kern w:val="36"/>
          <w:sz w:val="24"/>
          <w:szCs w:val="22"/>
        </w:rPr>
      </w:pPr>
      <w:r>
        <w:rPr>
          <w:b/>
          <w:sz w:val="24"/>
          <w:szCs w:val="22"/>
        </w:rPr>
        <w:t>Anexo</w:t>
      </w:r>
      <w:r w:rsidR="006A2F94" w:rsidRPr="00FF3A6B">
        <w:rPr>
          <w:b/>
          <w:sz w:val="24"/>
          <w:szCs w:val="22"/>
        </w:rPr>
        <w:t>.</w:t>
      </w:r>
      <w:r w:rsidR="006A2F94" w:rsidRPr="00FF3A6B">
        <w:rPr>
          <w:b/>
          <w:kern w:val="36"/>
          <w:sz w:val="24"/>
          <w:szCs w:val="22"/>
        </w:rPr>
        <w:t xml:space="preserve"> </w:t>
      </w:r>
      <w:r>
        <w:rPr>
          <w:b/>
          <w:kern w:val="36"/>
          <w:sz w:val="24"/>
          <w:szCs w:val="22"/>
        </w:rPr>
        <w:t xml:space="preserve"> </w:t>
      </w:r>
      <w:r w:rsidRPr="00396578">
        <w:rPr>
          <w:b/>
          <w:bCs/>
          <w:iCs/>
          <w:kern w:val="36"/>
          <w:sz w:val="24"/>
          <w:szCs w:val="22"/>
        </w:rPr>
        <w:t>La impunidad es hija del olvido</w:t>
      </w:r>
      <w:r w:rsidRPr="00396578">
        <w:rPr>
          <w:rStyle w:val="Refdenotaalpie"/>
          <w:rFonts w:asciiTheme="minorHAnsi" w:hAnsiTheme="minorHAnsi"/>
          <w:b/>
          <w:color w:val="auto"/>
        </w:rPr>
        <w:footnoteReference w:id="1"/>
      </w:r>
    </w:p>
    <w:p w:rsidR="008B31BA" w:rsidRPr="008B31BA" w:rsidRDefault="008B31BA" w:rsidP="008B31BA">
      <w:pPr>
        <w:pStyle w:val="NormalWeb"/>
        <w:shd w:val="clear" w:color="auto" w:fill="FFFFFF" w:themeFill="background1"/>
        <w:spacing w:before="0" w:beforeAutospacing="0" w:after="150" w:afterAutospacing="0" w:line="300" w:lineRule="atLeast"/>
        <w:jc w:val="both"/>
        <w:rPr>
          <w:rFonts w:asciiTheme="minorHAnsi" w:hAnsiTheme="minorHAnsi" w:cstheme="minorHAnsi"/>
          <w:iCs/>
          <w:color w:val="333333"/>
          <w:sz w:val="22"/>
          <w:szCs w:val="21"/>
          <w:shd w:val="clear" w:color="auto" w:fill="F5F5F5"/>
        </w:rPr>
      </w:pPr>
      <w:r w:rsidRPr="008B31BA">
        <w:rPr>
          <w:rFonts w:asciiTheme="minorHAnsi" w:hAnsiTheme="minorHAnsi" w:cstheme="minorHAnsi"/>
          <w:iCs/>
          <w:color w:val="333333"/>
          <w:sz w:val="22"/>
          <w:szCs w:val="21"/>
          <w:shd w:val="clear" w:color="auto" w:fill="F5F5F5"/>
        </w:rPr>
        <w:t>El imperio otomano se caía a pedazos y los armenios pagaron el pato. Mientras ocurría la primera guerra mundial, una carnicería programada por el gobierno acabó con la mitad de los armenios en Turquía: casas saqueadas y quemadas, caravanas de desnudos arrojados al camino sin agua ni nada, mujeres violadas a la luz del día en la plaza del pueblo, cuerpos mutilados flotando en los ríos.</w:t>
      </w:r>
    </w:p>
    <w:p w:rsidR="008B31BA" w:rsidRPr="008B31BA" w:rsidRDefault="008B31BA" w:rsidP="008B31BA">
      <w:pPr>
        <w:pStyle w:val="NormalWeb"/>
        <w:shd w:val="clear" w:color="auto" w:fill="FFFFFF" w:themeFill="background1"/>
        <w:spacing w:before="0" w:beforeAutospacing="0" w:after="150" w:afterAutospacing="0" w:line="300" w:lineRule="atLeast"/>
        <w:jc w:val="both"/>
        <w:rPr>
          <w:rFonts w:asciiTheme="minorHAnsi" w:hAnsiTheme="minorHAnsi" w:cstheme="minorHAnsi"/>
          <w:iCs/>
          <w:color w:val="333333"/>
          <w:sz w:val="22"/>
          <w:szCs w:val="21"/>
          <w:shd w:val="clear" w:color="auto" w:fill="F5F5F5"/>
        </w:rPr>
      </w:pPr>
      <w:r w:rsidRPr="008B31BA">
        <w:rPr>
          <w:rFonts w:asciiTheme="minorHAnsi" w:hAnsiTheme="minorHAnsi" w:cstheme="minorHAnsi"/>
          <w:iCs/>
          <w:color w:val="333333"/>
          <w:sz w:val="22"/>
          <w:szCs w:val="21"/>
          <w:shd w:val="clear" w:color="auto" w:fill="F5F5F5"/>
        </w:rPr>
        <w:t>Quien no murió de sed o hambre o frío, murió de cuchillo o bala. O de horca. O de humo: en el desierto de Siria, los armenios expulsados de Turquía fueron encerrados en cuevas y asfixiados con humo, en lo que fue algo así como una profecía de las cámaras de gas de la Alemania nazi.</w:t>
      </w:r>
    </w:p>
    <w:p w:rsidR="008B31BA" w:rsidRPr="008B31BA" w:rsidRDefault="008B31BA" w:rsidP="008B31BA">
      <w:pPr>
        <w:pStyle w:val="NormalWeb"/>
        <w:shd w:val="clear" w:color="auto" w:fill="FFFFFF" w:themeFill="background1"/>
        <w:spacing w:before="0" w:beforeAutospacing="0" w:after="150" w:afterAutospacing="0" w:line="300" w:lineRule="atLeast"/>
        <w:jc w:val="both"/>
        <w:rPr>
          <w:rFonts w:asciiTheme="minorHAnsi" w:hAnsiTheme="minorHAnsi" w:cstheme="minorHAnsi"/>
          <w:iCs/>
          <w:color w:val="333333"/>
          <w:sz w:val="22"/>
          <w:szCs w:val="21"/>
          <w:shd w:val="clear" w:color="auto" w:fill="F5F5F5"/>
        </w:rPr>
      </w:pPr>
      <w:r w:rsidRPr="008B31BA">
        <w:rPr>
          <w:rFonts w:asciiTheme="minorHAnsi" w:hAnsiTheme="minorHAnsi" w:cstheme="minorHAnsi"/>
          <w:iCs/>
          <w:color w:val="333333"/>
          <w:sz w:val="22"/>
          <w:szCs w:val="21"/>
          <w:shd w:val="clear" w:color="auto" w:fill="F5F5F5"/>
        </w:rPr>
        <w:t>Veinte años después, Hitler estaba programando, con sus asesores, la invasión de Polonia. Midiendo los pros y los contras de la operación, Hitler advirtió que habría protestas, algún escándalo internacional, algún griterío, pero aseguró que ese ruido no duraría mucho. Y preguntando comprobó:</w:t>
      </w:r>
    </w:p>
    <w:p w:rsidR="008B31BA" w:rsidRPr="008B31BA" w:rsidRDefault="008B31BA" w:rsidP="008B31BA">
      <w:pPr>
        <w:pStyle w:val="NormalWeb"/>
        <w:shd w:val="clear" w:color="auto" w:fill="FFFFFF" w:themeFill="background1"/>
        <w:spacing w:before="0" w:beforeAutospacing="0" w:after="150" w:afterAutospacing="0" w:line="300" w:lineRule="atLeast"/>
        <w:jc w:val="both"/>
        <w:rPr>
          <w:rFonts w:asciiTheme="minorHAnsi" w:hAnsiTheme="minorHAnsi" w:cstheme="minorHAnsi"/>
          <w:iCs/>
          <w:color w:val="333333"/>
          <w:sz w:val="22"/>
          <w:szCs w:val="21"/>
          <w:shd w:val="clear" w:color="auto" w:fill="F5F5F5"/>
        </w:rPr>
      </w:pPr>
      <w:r w:rsidRPr="008B31BA">
        <w:rPr>
          <w:rFonts w:asciiTheme="minorHAnsi" w:hAnsiTheme="minorHAnsi" w:cstheme="minorHAnsi"/>
          <w:iCs/>
          <w:color w:val="333333"/>
          <w:sz w:val="22"/>
          <w:szCs w:val="21"/>
          <w:shd w:val="clear" w:color="auto" w:fill="F5F5F5"/>
        </w:rPr>
        <w:t>¿Quién se acuerda de los armenios?</w:t>
      </w:r>
    </w:p>
    <w:p w:rsidR="008B31BA" w:rsidRPr="00934F9B" w:rsidRDefault="008B31BA" w:rsidP="00934F9B">
      <w:pPr>
        <w:jc w:val="center"/>
        <w:rPr>
          <w:b/>
          <w:kern w:val="36"/>
          <w:szCs w:val="22"/>
        </w:rPr>
      </w:pPr>
    </w:p>
    <w:p w:rsidR="00396578" w:rsidRDefault="00396578" w:rsidP="00396578">
      <w:pPr>
        <w:pStyle w:val="Textocomentario"/>
        <w:spacing w:beforeLines="0"/>
        <w:rPr>
          <w:rFonts w:ascii="Calibri" w:hAnsi="Calibri"/>
          <w:b/>
          <w:iCs/>
          <w:sz w:val="22"/>
          <w:szCs w:val="22"/>
        </w:rPr>
      </w:pPr>
      <w:r>
        <w:rPr>
          <w:rFonts w:ascii="Calibri" w:hAnsi="Calibri"/>
          <w:b/>
          <w:iCs/>
          <w:sz w:val="22"/>
          <w:szCs w:val="22"/>
        </w:rPr>
        <w:t>A propósito del relato de Eduardo Galeano:</w:t>
      </w:r>
    </w:p>
    <w:p w:rsidR="00396578" w:rsidRPr="00C747F2" w:rsidRDefault="00396578" w:rsidP="00396578">
      <w:pPr>
        <w:pStyle w:val="Textocomentario"/>
        <w:spacing w:beforeLines="0"/>
        <w:rPr>
          <w:rFonts w:ascii="Calibri" w:hAnsi="Calibri"/>
          <w:iCs/>
          <w:sz w:val="22"/>
          <w:szCs w:val="22"/>
        </w:rPr>
      </w:pPr>
    </w:p>
    <w:p w:rsidR="00396578" w:rsidRPr="00396578" w:rsidRDefault="00396578" w:rsidP="00396578">
      <w:pPr>
        <w:pStyle w:val="Cuadrculaclara-nfasis31"/>
        <w:numPr>
          <w:ilvl w:val="0"/>
          <w:numId w:val="7"/>
        </w:numPr>
      </w:pPr>
      <w:r w:rsidRPr="00C747F2">
        <w:t>¿Cuál fue la parte del texto qué más te llamó la atención?</w:t>
      </w:r>
      <w:r>
        <w:t>, ¿por qué?</w:t>
      </w:r>
    </w:p>
    <w:p w:rsidR="00396578" w:rsidRPr="009C40FA" w:rsidRDefault="00396578" w:rsidP="00396578">
      <w:pPr>
        <w:pStyle w:val="Cuadrculaclara-nfasis31"/>
      </w:pPr>
    </w:p>
    <w:tbl>
      <w:tblPr>
        <w:tblW w:w="0" w:type="auto"/>
        <w:tblBorders>
          <w:top w:val="dotted" w:sz="12" w:space="0" w:color="7030A0"/>
          <w:bottom w:val="dotted" w:sz="12" w:space="0" w:color="7030A0"/>
          <w:insideH w:val="dotted" w:sz="12" w:space="0" w:color="7030A0"/>
          <w:insideV w:val="single" w:sz="18" w:space="0" w:color="7030A0"/>
        </w:tblBorders>
        <w:tblLook w:val="04A0" w:firstRow="1" w:lastRow="0" w:firstColumn="1" w:lastColumn="0" w:noHBand="0" w:noVBand="1"/>
      </w:tblPr>
      <w:tblGrid>
        <w:gridCol w:w="8720"/>
      </w:tblGrid>
      <w:tr w:rsidR="00396578" w:rsidRPr="00C747F2" w:rsidTr="00396578">
        <w:tc>
          <w:tcPr>
            <w:tcW w:w="9026" w:type="dxa"/>
            <w:tcBorders>
              <w:top w:val="dashSmallGap" w:sz="4" w:space="0" w:color="auto"/>
              <w:bottom w:val="dashSmallGap" w:sz="4" w:space="0" w:color="auto"/>
            </w:tcBorders>
            <w:shd w:val="clear" w:color="auto" w:fill="auto"/>
          </w:tcPr>
          <w:p w:rsidR="00396578" w:rsidRPr="00C747F2" w:rsidRDefault="00396578" w:rsidP="0049323F">
            <w:pPr>
              <w:spacing w:after="0" w:line="240" w:lineRule="auto"/>
              <w:jc w:val="both"/>
              <w:rPr>
                <w:lang w:val="es-ES"/>
              </w:rPr>
            </w:pPr>
          </w:p>
        </w:tc>
      </w:tr>
      <w:tr w:rsidR="00396578" w:rsidRPr="00C747F2" w:rsidTr="00396578">
        <w:tc>
          <w:tcPr>
            <w:tcW w:w="9026" w:type="dxa"/>
            <w:tcBorders>
              <w:top w:val="dashSmallGap" w:sz="4" w:space="0" w:color="auto"/>
              <w:bottom w:val="dashSmallGap" w:sz="4" w:space="0" w:color="auto"/>
            </w:tcBorders>
            <w:shd w:val="clear" w:color="auto" w:fill="auto"/>
          </w:tcPr>
          <w:p w:rsidR="00396578" w:rsidRPr="00C747F2" w:rsidRDefault="00396578" w:rsidP="0049323F">
            <w:pPr>
              <w:spacing w:after="0" w:line="240" w:lineRule="auto"/>
              <w:jc w:val="both"/>
              <w:rPr>
                <w:lang w:val="es-ES"/>
              </w:rPr>
            </w:pPr>
          </w:p>
        </w:tc>
      </w:tr>
    </w:tbl>
    <w:p w:rsidR="00396578" w:rsidRPr="00FB7005" w:rsidRDefault="00396578" w:rsidP="00396578">
      <w:pPr>
        <w:pStyle w:val="Textocomentario"/>
        <w:spacing w:beforeLines="0"/>
        <w:rPr>
          <w:rFonts w:ascii="Calibri" w:hAnsi="Calibri"/>
          <w:iCs/>
          <w:sz w:val="22"/>
          <w:szCs w:val="22"/>
          <w:lang w:val="es-ES_tradnl"/>
        </w:rPr>
      </w:pPr>
    </w:p>
    <w:p w:rsidR="00396578" w:rsidRPr="00396578" w:rsidRDefault="00396578" w:rsidP="00396578">
      <w:pPr>
        <w:pStyle w:val="Cuadrculaclara-nfasis31"/>
        <w:numPr>
          <w:ilvl w:val="0"/>
          <w:numId w:val="7"/>
        </w:numPr>
      </w:pPr>
      <w:r w:rsidRPr="00C747F2">
        <w:t>Explica con</w:t>
      </w:r>
      <w:r>
        <w:t xml:space="preserve"> </w:t>
      </w:r>
      <w:r w:rsidRPr="00C747F2">
        <w:t>tus propias palabras el significado del título: “La impunidad es hija del olvido”</w:t>
      </w:r>
      <w:r>
        <w:t>.</w:t>
      </w:r>
    </w:p>
    <w:p w:rsidR="00396578" w:rsidRPr="009C40FA" w:rsidRDefault="00396578" w:rsidP="00396578">
      <w:pPr>
        <w:pStyle w:val="Cuadrculaclara-nfasis31"/>
      </w:pPr>
    </w:p>
    <w:tbl>
      <w:tblPr>
        <w:tblW w:w="0" w:type="auto"/>
        <w:tblBorders>
          <w:top w:val="dotted" w:sz="12" w:space="0" w:color="7030A0"/>
          <w:bottom w:val="dotted" w:sz="12" w:space="0" w:color="7030A0"/>
          <w:insideH w:val="dotted" w:sz="12" w:space="0" w:color="7030A0"/>
          <w:insideV w:val="single" w:sz="18" w:space="0" w:color="7030A0"/>
        </w:tblBorders>
        <w:tblLook w:val="04A0" w:firstRow="1" w:lastRow="0" w:firstColumn="1" w:lastColumn="0" w:noHBand="0" w:noVBand="1"/>
      </w:tblPr>
      <w:tblGrid>
        <w:gridCol w:w="8720"/>
      </w:tblGrid>
      <w:tr w:rsidR="00396578" w:rsidRPr="00C747F2" w:rsidTr="00396578">
        <w:tc>
          <w:tcPr>
            <w:tcW w:w="9026" w:type="dxa"/>
            <w:tcBorders>
              <w:top w:val="dashSmallGap" w:sz="4" w:space="0" w:color="auto"/>
              <w:bottom w:val="dashSmallGap" w:sz="4" w:space="0" w:color="auto"/>
            </w:tcBorders>
            <w:shd w:val="clear" w:color="auto" w:fill="auto"/>
          </w:tcPr>
          <w:p w:rsidR="00396578" w:rsidRPr="00C747F2" w:rsidRDefault="00396578" w:rsidP="0049323F">
            <w:pPr>
              <w:spacing w:after="0" w:line="240" w:lineRule="auto"/>
              <w:jc w:val="both"/>
              <w:rPr>
                <w:lang w:val="es-ES"/>
              </w:rPr>
            </w:pPr>
          </w:p>
        </w:tc>
      </w:tr>
      <w:tr w:rsidR="00396578" w:rsidRPr="00C747F2" w:rsidTr="00396578">
        <w:tc>
          <w:tcPr>
            <w:tcW w:w="9026" w:type="dxa"/>
            <w:tcBorders>
              <w:top w:val="dashSmallGap" w:sz="4" w:space="0" w:color="auto"/>
              <w:bottom w:val="dashSmallGap" w:sz="4" w:space="0" w:color="auto"/>
            </w:tcBorders>
            <w:shd w:val="clear" w:color="auto" w:fill="auto"/>
          </w:tcPr>
          <w:p w:rsidR="00396578" w:rsidRPr="00C747F2" w:rsidRDefault="00396578" w:rsidP="0049323F">
            <w:pPr>
              <w:spacing w:after="0" w:line="240" w:lineRule="auto"/>
              <w:jc w:val="both"/>
              <w:rPr>
                <w:lang w:val="es-ES"/>
              </w:rPr>
            </w:pPr>
          </w:p>
        </w:tc>
      </w:tr>
      <w:tr w:rsidR="00396578" w:rsidRPr="00C747F2" w:rsidTr="00396578">
        <w:tc>
          <w:tcPr>
            <w:tcW w:w="9026" w:type="dxa"/>
            <w:tcBorders>
              <w:top w:val="dashSmallGap" w:sz="4" w:space="0" w:color="auto"/>
              <w:bottom w:val="dashSmallGap" w:sz="4" w:space="0" w:color="auto"/>
            </w:tcBorders>
            <w:shd w:val="clear" w:color="auto" w:fill="auto"/>
          </w:tcPr>
          <w:p w:rsidR="00396578" w:rsidRPr="008C4893" w:rsidRDefault="00396578" w:rsidP="0049323F">
            <w:pPr>
              <w:spacing w:after="0" w:line="240" w:lineRule="auto"/>
              <w:jc w:val="both"/>
              <w:rPr>
                <w:lang w:val="es-ES"/>
              </w:rPr>
            </w:pPr>
          </w:p>
        </w:tc>
      </w:tr>
    </w:tbl>
    <w:p w:rsidR="00396578" w:rsidRPr="00C747F2" w:rsidRDefault="00396578" w:rsidP="00396578">
      <w:pPr>
        <w:pStyle w:val="Textocomentario"/>
        <w:spacing w:beforeLines="0"/>
        <w:ind w:left="720"/>
        <w:rPr>
          <w:rFonts w:ascii="Calibri" w:hAnsi="Calibri"/>
          <w:iCs/>
          <w:sz w:val="22"/>
          <w:szCs w:val="22"/>
        </w:rPr>
      </w:pPr>
    </w:p>
    <w:p w:rsidR="00396578" w:rsidRPr="00396578" w:rsidRDefault="00396578" w:rsidP="00396578">
      <w:pPr>
        <w:pStyle w:val="Cuadrculaclara-nfasis31"/>
        <w:numPr>
          <w:ilvl w:val="0"/>
          <w:numId w:val="7"/>
        </w:numPr>
      </w:pPr>
      <w:r w:rsidRPr="00C747F2">
        <w:t>Ahora piensa en tu propia historia</w:t>
      </w:r>
      <w:r>
        <w:t>,</w:t>
      </w:r>
      <w:r w:rsidRPr="00C747F2">
        <w:t xml:space="preserve"> ¿</w:t>
      </w:r>
      <w:r>
        <w:t>r</w:t>
      </w:r>
      <w:r w:rsidRPr="00C747F2">
        <w:t>ecuerdas cuál fue el primer derecho que ejerciste o</w:t>
      </w:r>
      <w:r>
        <w:t xml:space="preserve"> </w:t>
      </w:r>
      <w:r w:rsidRPr="00C747F2">
        <w:t>sentiste que te fue reconocido</w:t>
      </w:r>
      <w:r w:rsidRPr="008C4893">
        <w:t>?</w:t>
      </w:r>
    </w:p>
    <w:p w:rsidR="00396578" w:rsidRPr="009C40FA" w:rsidRDefault="00396578" w:rsidP="00396578">
      <w:pPr>
        <w:pStyle w:val="Cuadrculaclara-nfasis31"/>
      </w:pPr>
    </w:p>
    <w:tbl>
      <w:tblPr>
        <w:tblW w:w="0" w:type="auto"/>
        <w:tblBorders>
          <w:top w:val="dotted" w:sz="12" w:space="0" w:color="7030A0"/>
          <w:bottom w:val="dotted" w:sz="12" w:space="0" w:color="7030A0"/>
          <w:insideH w:val="dotted" w:sz="12" w:space="0" w:color="7030A0"/>
          <w:insideV w:val="single" w:sz="18" w:space="0" w:color="7030A0"/>
        </w:tblBorders>
        <w:tblLook w:val="04A0" w:firstRow="1" w:lastRow="0" w:firstColumn="1" w:lastColumn="0" w:noHBand="0" w:noVBand="1"/>
      </w:tblPr>
      <w:tblGrid>
        <w:gridCol w:w="8720"/>
      </w:tblGrid>
      <w:tr w:rsidR="00396578" w:rsidRPr="001A1E29" w:rsidTr="00396578">
        <w:tc>
          <w:tcPr>
            <w:tcW w:w="9026" w:type="dxa"/>
            <w:tcBorders>
              <w:top w:val="dashSmallGap" w:sz="4" w:space="0" w:color="auto"/>
              <w:bottom w:val="dashSmallGap" w:sz="4" w:space="0" w:color="auto"/>
            </w:tcBorders>
            <w:shd w:val="clear" w:color="auto" w:fill="auto"/>
          </w:tcPr>
          <w:p w:rsidR="00396578" w:rsidRPr="001A1E29" w:rsidRDefault="00396578" w:rsidP="0049323F">
            <w:pPr>
              <w:spacing w:after="0" w:line="240" w:lineRule="auto"/>
              <w:jc w:val="both"/>
              <w:rPr>
                <w:lang w:val="es-ES"/>
              </w:rPr>
            </w:pPr>
          </w:p>
        </w:tc>
      </w:tr>
      <w:tr w:rsidR="00396578" w:rsidRPr="001A1E29" w:rsidTr="00396578">
        <w:tc>
          <w:tcPr>
            <w:tcW w:w="9026" w:type="dxa"/>
            <w:tcBorders>
              <w:top w:val="dashSmallGap" w:sz="4" w:space="0" w:color="auto"/>
              <w:bottom w:val="dashSmallGap" w:sz="4" w:space="0" w:color="auto"/>
            </w:tcBorders>
            <w:shd w:val="clear" w:color="auto" w:fill="auto"/>
          </w:tcPr>
          <w:p w:rsidR="00396578" w:rsidRPr="001A1E29" w:rsidRDefault="00396578" w:rsidP="0049323F">
            <w:pPr>
              <w:spacing w:after="0" w:line="240" w:lineRule="auto"/>
              <w:jc w:val="both"/>
              <w:rPr>
                <w:lang w:val="es-ES"/>
              </w:rPr>
            </w:pPr>
          </w:p>
        </w:tc>
      </w:tr>
    </w:tbl>
    <w:p w:rsidR="00396578" w:rsidRDefault="00396578" w:rsidP="00396578">
      <w:pPr>
        <w:rPr>
          <w:iCs/>
        </w:rPr>
      </w:pPr>
    </w:p>
    <w:p w:rsidR="00396578" w:rsidRPr="00396578" w:rsidRDefault="00396578" w:rsidP="00396578">
      <w:pPr>
        <w:pStyle w:val="Cuadrculaclara-nfasis31"/>
        <w:numPr>
          <w:ilvl w:val="0"/>
          <w:numId w:val="7"/>
        </w:numPr>
      </w:pPr>
      <w:r w:rsidRPr="008C4893">
        <w:t>¿Por qué fue importante para ti ejercer ese derecho?</w:t>
      </w:r>
    </w:p>
    <w:p w:rsidR="00396578" w:rsidRPr="009C40FA" w:rsidRDefault="00396578" w:rsidP="00396578">
      <w:pPr>
        <w:pStyle w:val="Cuadrculaclara-nfasis31"/>
      </w:pPr>
    </w:p>
    <w:tbl>
      <w:tblPr>
        <w:tblW w:w="0" w:type="auto"/>
        <w:tblBorders>
          <w:top w:val="dotted" w:sz="12" w:space="0" w:color="7030A0"/>
          <w:bottom w:val="dotted" w:sz="12" w:space="0" w:color="7030A0"/>
          <w:insideH w:val="dotted" w:sz="12" w:space="0" w:color="7030A0"/>
          <w:insideV w:val="single" w:sz="18" w:space="0" w:color="7030A0"/>
        </w:tblBorders>
        <w:tblLook w:val="04A0" w:firstRow="1" w:lastRow="0" w:firstColumn="1" w:lastColumn="0" w:noHBand="0" w:noVBand="1"/>
      </w:tblPr>
      <w:tblGrid>
        <w:gridCol w:w="8720"/>
      </w:tblGrid>
      <w:tr w:rsidR="00396578" w:rsidRPr="001A1E29" w:rsidTr="00396578">
        <w:tc>
          <w:tcPr>
            <w:tcW w:w="9026" w:type="dxa"/>
            <w:tcBorders>
              <w:top w:val="dashSmallGap" w:sz="4" w:space="0" w:color="auto"/>
              <w:bottom w:val="dashSmallGap" w:sz="4" w:space="0" w:color="auto"/>
            </w:tcBorders>
            <w:shd w:val="clear" w:color="auto" w:fill="auto"/>
          </w:tcPr>
          <w:p w:rsidR="00396578" w:rsidRPr="001A1E29" w:rsidRDefault="00396578" w:rsidP="0049323F">
            <w:pPr>
              <w:spacing w:after="0" w:line="240" w:lineRule="auto"/>
              <w:jc w:val="both"/>
              <w:rPr>
                <w:lang w:val="es-ES"/>
              </w:rPr>
            </w:pPr>
          </w:p>
        </w:tc>
      </w:tr>
      <w:tr w:rsidR="00396578" w:rsidRPr="001A1E29" w:rsidTr="00396578">
        <w:tc>
          <w:tcPr>
            <w:tcW w:w="9026" w:type="dxa"/>
            <w:tcBorders>
              <w:top w:val="dashSmallGap" w:sz="4" w:space="0" w:color="auto"/>
              <w:bottom w:val="dashSmallGap" w:sz="4" w:space="0" w:color="auto"/>
            </w:tcBorders>
            <w:shd w:val="clear" w:color="auto" w:fill="auto"/>
          </w:tcPr>
          <w:p w:rsidR="00396578" w:rsidRPr="001A1E29" w:rsidRDefault="00396578" w:rsidP="0049323F">
            <w:pPr>
              <w:spacing w:after="0" w:line="240" w:lineRule="auto"/>
              <w:jc w:val="both"/>
              <w:rPr>
                <w:lang w:val="es-ES"/>
              </w:rPr>
            </w:pPr>
          </w:p>
        </w:tc>
      </w:tr>
      <w:tr w:rsidR="00396578" w:rsidRPr="001A1E29" w:rsidTr="00396578">
        <w:tc>
          <w:tcPr>
            <w:tcW w:w="9026" w:type="dxa"/>
            <w:tcBorders>
              <w:top w:val="dashSmallGap" w:sz="4" w:space="0" w:color="auto"/>
              <w:bottom w:val="dashSmallGap" w:sz="4" w:space="0" w:color="auto"/>
            </w:tcBorders>
            <w:shd w:val="clear" w:color="auto" w:fill="auto"/>
          </w:tcPr>
          <w:p w:rsidR="00396578" w:rsidRPr="001A1E29" w:rsidRDefault="00396578" w:rsidP="0049323F">
            <w:pPr>
              <w:spacing w:after="0" w:line="240" w:lineRule="auto"/>
              <w:jc w:val="both"/>
              <w:rPr>
                <w:lang w:val="es-ES"/>
              </w:rPr>
            </w:pPr>
          </w:p>
        </w:tc>
      </w:tr>
    </w:tbl>
    <w:p w:rsidR="00F45359" w:rsidRPr="00396578" w:rsidRDefault="00F45359" w:rsidP="008B31BA">
      <w:pPr>
        <w:rPr>
          <w:b/>
          <w:szCs w:val="22"/>
          <w:lang w:val="es-ES_tradnl"/>
        </w:rPr>
      </w:pPr>
    </w:p>
    <w:sectPr w:rsidR="00F45359" w:rsidRPr="00396578" w:rsidSect="003B4FF8">
      <w:headerReference w:type="default" r:id="rId8"/>
      <w:pgSz w:w="11906" w:h="16838"/>
      <w:pgMar w:top="1560" w:right="1701"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3A9" w:rsidRDefault="00A863A9" w:rsidP="00F45359">
      <w:pPr>
        <w:spacing w:after="0" w:line="240" w:lineRule="auto"/>
      </w:pPr>
      <w:r>
        <w:separator/>
      </w:r>
    </w:p>
  </w:endnote>
  <w:endnote w:type="continuationSeparator" w:id="0">
    <w:p w:rsidR="00A863A9" w:rsidRDefault="00A863A9" w:rsidP="00F45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charset w:val="00"/>
    <w:family w:val="swiss"/>
    <w:pitch w:val="variable"/>
    <w:sig w:usb0="E7002EFF" w:usb1="D200F5FF" w:usb2="0A24602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3A9" w:rsidRDefault="00A863A9" w:rsidP="00F45359">
      <w:pPr>
        <w:spacing w:after="0" w:line="240" w:lineRule="auto"/>
      </w:pPr>
      <w:r>
        <w:separator/>
      </w:r>
    </w:p>
  </w:footnote>
  <w:footnote w:type="continuationSeparator" w:id="0">
    <w:p w:rsidR="00A863A9" w:rsidRDefault="00A863A9" w:rsidP="00F45359">
      <w:pPr>
        <w:spacing w:after="0" w:line="240" w:lineRule="auto"/>
      </w:pPr>
      <w:r>
        <w:continuationSeparator/>
      </w:r>
    </w:p>
  </w:footnote>
  <w:footnote w:id="1">
    <w:p w:rsidR="00396578" w:rsidRPr="00C5234C" w:rsidRDefault="00396578" w:rsidP="00396578">
      <w:pPr>
        <w:pStyle w:val="Textonotapie"/>
        <w:jc w:val="both"/>
        <w:rPr>
          <w:rFonts w:cs="Calibri"/>
        </w:rPr>
      </w:pPr>
      <w:r w:rsidRPr="00C5234C">
        <w:rPr>
          <w:rStyle w:val="Refdenotaalpie"/>
          <w:rFonts w:cs="Calibri"/>
        </w:rPr>
        <w:footnoteRef/>
      </w:r>
      <w:r w:rsidRPr="00C5234C">
        <w:rPr>
          <w:rFonts w:cs="Calibri"/>
        </w:rPr>
        <w:t xml:space="preserve"> Eduardo Galeano, “La impunidad es hija del olvido”, en </w:t>
      </w:r>
      <w:r w:rsidRPr="00C5234C">
        <w:rPr>
          <w:rFonts w:cs="Calibri"/>
          <w:i/>
        </w:rPr>
        <w:t>Espejos: una historia casi universal</w:t>
      </w:r>
      <w:r w:rsidRPr="00C5234C">
        <w:rPr>
          <w:rFonts w:cs="Calibri"/>
        </w:rPr>
        <w:t xml:space="preserve"> (México: Siglo XXI, 2008), 279.</w:t>
      </w: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359" w:rsidRPr="000C079C" w:rsidRDefault="00F45359" w:rsidP="00F45359">
    <w:pPr>
      <w:pStyle w:val="Sinespaciado"/>
      <w:jc w:val="right"/>
      <w:rPr>
        <w:b/>
        <w:color w:val="365F91" w:themeColor="accent1" w:themeShade="BF"/>
        <w:sz w:val="20"/>
      </w:rPr>
    </w:pPr>
    <w:r w:rsidRPr="000C079C">
      <w:rPr>
        <w:b/>
        <w:color w:val="365F91" w:themeColor="accent1" w:themeShade="BF"/>
        <w:sz w:val="20"/>
      </w:rPr>
      <w:t>Dirección General de Educación e Investigación</w:t>
    </w:r>
  </w:p>
  <w:p w:rsidR="00F45359" w:rsidRPr="000C079C" w:rsidRDefault="00F45359" w:rsidP="00F45359">
    <w:pPr>
      <w:pStyle w:val="Sinespaciado"/>
      <w:jc w:val="right"/>
      <w:rPr>
        <w:b/>
        <w:color w:val="365F91" w:themeColor="accent1" w:themeShade="BF"/>
        <w:sz w:val="20"/>
      </w:rPr>
    </w:pPr>
    <w:r w:rsidRPr="000C079C">
      <w:rPr>
        <w:b/>
        <w:color w:val="365F91" w:themeColor="accent1" w:themeShade="BF"/>
        <w:sz w:val="20"/>
      </w:rPr>
      <w:t>Dirección Nacional Técnica de Educación y Capacitación</w:t>
    </w:r>
  </w:p>
  <w:p w:rsidR="00F45359" w:rsidRPr="00F45359" w:rsidRDefault="00F45359">
    <w:pPr>
      <w:pStyle w:val="Encabezado"/>
      <w:rPr>
        <w:lang w:val="es-ES"/>
      </w:rPr>
    </w:pPr>
    <w:r w:rsidRPr="00F45359">
      <w:rPr>
        <w:noProof/>
      </w:rPr>
      <w:drawing>
        <wp:anchor distT="0" distB="0" distL="0" distR="0" simplePos="0" relativeHeight="251659264" behindDoc="0" locked="0" layoutInCell="1" allowOverlap="1">
          <wp:simplePos x="0" y="0"/>
          <wp:positionH relativeFrom="margin">
            <wp:posOffset>-213360</wp:posOffset>
          </wp:positionH>
          <wp:positionV relativeFrom="paragraph">
            <wp:posOffset>-397510</wp:posOffset>
          </wp:positionV>
          <wp:extent cx="1590675" cy="514350"/>
          <wp:effectExtent l="19050" t="0" r="9525" b="0"/>
          <wp:wrapNone/>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rcRect/>
                  <a:stretch>
                    <a:fillRect/>
                  </a:stretch>
                </pic:blipFill>
                <pic:spPr bwMode="auto">
                  <a:xfrm>
                    <a:off x="0" y="0"/>
                    <a:ext cx="1590675" cy="5143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A34E3"/>
    <w:multiLevelType w:val="hybridMultilevel"/>
    <w:tmpl w:val="564619CC"/>
    <w:lvl w:ilvl="0" w:tplc="300A0001">
      <w:start w:val="1"/>
      <w:numFmt w:val="bullet"/>
      <w:lvlText w:val=""/>
      <w:lvlJc w:val="left"/>
      <w:pPr>
        <w:ind w:left="720" w:hanging="360"/>
      </w:pPr>
      <w:rPr>
        <w:rFonts w:ascii="Symbol" w:hAnsi="Symbol"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nsid w:val="2FB97D79"/>
    <w:multiLevelType w:val="hybridMultilevel"/>
    <w:tmpl w:val="9F0029DE"/>
    <w:lvl w:ilvl="0" w:tplc="0C0A000F">
      <w:start w:val="1"/>
      <w:numFmt w:val="bullet"/>
      <w:lvlText w:val=""/>
      <w:lvlJc w:val="left"/>
      <w:pPr>
        <w:ind w:left="720" w:hanging="360"/>
      </w:pPr>
      <w:rPr>
        <w:rFonts w:ascii="Symbol" w:hAnsi="Symbol" w:hint="default"/>
      </w:rPr>
    </w:lvl>
    <w:lvl w:ilvl="1" w:tplc="9B94EBAE"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C686FFB"/>
    <w:multiLevelType w:val="hybridMultilevel"/>
    <w:tmpl w:val="7556E4F8"/>
    <w:lvl w:ilvl="0" w:tplc="84427E7E">
      <w:start w:val="1"/>
      <w:numFmt w:val="bullet"/>
      <w:lvlText w:val=""/>
      <w:lvlJc w:val="left"/>
      <w:pPr>
        <w:ind w:left="720" w:hanging="360"/>
      </w:pPr>
      <w:rPr>
        <w:rFonts w:ascii="Symbol" w:hAnsi="Symbol"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nsid w:val="5F15759D"/>
    <w:multiLevelType w:val="hybridMultilevel"/>
    <w:tmpl w:val="B2B07B62"/>
    <w:lvl w:ilvl="0" w:tplc="AD8AF6C8">
      <w:start w:val="1"/>
      <w:numFmt w:val="bullet"/>
      <w:lvlText w:val=""/>
      <w:lvlJc w:val="left"/>
      <w:pPr>
        <w:ind w:left="720" w:hanging="360"/>
      </w:pPr>
      <w:rPr>
        <w:rFonts w:ascii="Symbol" w:hAnsi="Symbol" w:hint="default"/>
      </w:rPr>
    </w:lvl>
    <w:lvl w:ilvl="1" w:tplc="300A0003" w:tentative="1">
      <w:start w:val="1"/>
      <w:numFmt w:val="lowerLetter"/>
      <w:lvlText w:val="%2."/>
      <w:lvlJc w:val="left"/>
      <w:pPr>
        <w:ind w:left="1440" w:hanging="360"/>
      </w:pPr>
    </w:lvl>
    <w:lvl w:ilvl="2" w:tplc="300A0005" w:tentative="1">
      <w:start w:val="1"/>
      <w:numFmt w:val="lowerRoman"/>
      <w:lvlText w:val="%3."/>
      <w:lvlJc w:val="right"/>
      <w:pPr>
        <w:ind w:left="2160" w:hanging="180"/>
      </w:pPr>
    </w:lvl>
    <w:lvl w:ilvl="3" w:tplc="300A0001" w:tentative="1">
      <w:start w:val="1"/>
      <w:numFmt w:val="decimal"/>
      <w:lvlText w:val="%4."/>
      <w:lvlJc w:val="left"/>
      <w:pPr>
        <w:ind w:left="2880" w:hanging="360"/>
      </w:pPr>
    </w:lvl>
    <w:lvl w:ilvl="4" w:tplc="300A0003" w:tentative="1">
      <w:start w:val="1"/>
      <w:numFmt w:val="lowerLetter"/>
      <w:lvlText w:val="%5."/>
      <w:lvlJc w:val="left"/>
      <w:pPr>
        <w:ind w:left="3600" w:hanging="360"/>
      </w:pPr>
    </w:lvl>
    <w:lvl w:ilvl="5" w:tplc="300A0005" w:tentative="1">
      <w:start w:val="1"/>
      <w:numFmt w:val="lowerRoman"/>
      <w:lvlText w:val="%6."/>
      <w:lvlJc w:val="right"/>
      <w:pPr>
        <w:ind w:left="4320" w:hanging="180"/>
      </w:pPr>
    </w:lvl>
    <w:lvl w:ilvl="6" w:tplc="300A0001" w:tentative="1">
      <w:start w:val="1"/>
      <w:numFmt w:val="decimal"/>
      <w:lvlText w:val="%7."/>
      <w:lvlJc w:val="left"/>
      <w:pPr>
        <w:ind w:left="5040" w:hanging="360"/>
      </w:pPr>
    </w:lvl>
    <w:lvl w:ilvl="7" w:tplc="300A0003" w:tentative="1">
      <w:start w:val="1"/>
      <w:numFmt w:val="lowerLetter"/>
      <w:lvlText w:val="%8."/>
      <w:lvlJc w:val="left"/>
      <w:pPr>
        <w:ind w:left="5760" w:hanging="360"/>
      </w:pPr>
    </w:lvl>
    <w:lvl w:ilvl="8" w:tplc="300A0005" w:tentative="1">
      <w:start w:val="1"/>
      <w:numFmt w:val="lowerRoman"/>
      <w:lvlText w:val="%9."/>
      <w:lvlJc w:val="right"/>
      <w:pPr>
        <w:ind w:left="6480" w:hanging="180"/>
      </w:pPr>
    </w:lvl>
  </w:abstractNum>
  <w:abstractNum w:abstractNumId="4">
    <w:nsid w:val="63DB27C1"/>
    <w:multiLevelType w:val="hybridMultilevel"/>
    <w:tmpl w:val="AB4C157A"/>
    <w:lvl w:ilvl="0" w:tplc="AD8AF6C8">
      <w:start w:val="1"/>
      <w:numFmt w:val="bullet"/>
      <w:lvlText w:val=""/>
      <w:lvlJc w:val="left"/>
      <w:pPr>
        <w:ind w:left="720" w:hanging="360"/>
      </w:pPr>
      <w:rPr>
        <w:rFonts w:ascii="Symbol" w:hAnsi="Symbol" w:hint="default"/>
      </w:rPr>
    </w:lvl>
    <w:lvl w:ilvl="1" w:tplc="300A0003" w:tentative="1">
      <w:start w:val="1"/>
      <w:numFmt w:val="lowerLetter"/>
      <w:lvlText w:val="%2."/>
      <w:lvlJc w:val="left"/>
      <w:pPr>
        <w:ind w:left="1440" w:hanging="360"/>
      </w:pPr>
    </w:lvl>
    <w:lvl w:ilvl="2" w:tplc="300A0005" w:tentative="1">
      <w:start w:val="1"/>
      <w:numFmt w:val="lowerRoman"/>
      <w:lvlText w:val="%3."/>
      <w:lvlJc w:val="right"/>
      <w:pPr>
        <w:ind w:left="2160" w:hanging="180"/>
      </w:pPr>
    </w:lvl>
    <w:lvl w:ilvl="3" w:tplc="300A0001" w:tentative="1">
      <w:start w:val="1"/>
      <w:numFmt w:val="decimal"/>
      <w:lvlText w:val="%4."/>
      <w:lvlJc w:val="left"/>
      <w:pPr>
        <w:ind w:left="2880" w:hanging="360"/>
      </w:pPr>
    </w:lvl>
    <w:lvl w:ilvl="4" w:tplc="300A0003" w:tentative="1">
      <w:start w:val="1"/>
      <w:numFmt w:val="lowerLetter"/>
      <w:lvlText w:val="%5."/>
      <w:lvlJc w:val="left"/>
      <w:pPr>
        <w:ind w:left="3600" w:hanging="360"/>
      </w:pPr>
    </w:lvl>
    <w:lvl w:ilvl="5" w:tplc="300A0005" w:tentative="1">
      <w:start w:val="1"/>
      <w:numFmt w:val="lowerRoman"/>
      <w:lvlText w:val="%6."/>
      <w:lvlJc w:val="right"/>
      <w:pPr>
        <w:ind w:left="4320" w:hanging="180"/>
      </w:pPr>
    </w:lvl>
    <w:lvl w:ilvl="6" w:tplc="300A0001" w:tentative="1">
      <w:start w:val="1"/>
      <w:numFmt w:val="decimal"/>
      <w:lvlText w:val="%7."/>
      <w:lvlJc w:val="left"/>
      <w:pPr>
        <w:ind w:left="5040" w:hanging="360"/>
      </w:pPr>
    </w:lvl>
    <w:lvl w:ilvl="7" w:tplc="300A0003" w:tentative="1">
      <w:start w:val="1"/>
      <w:numFmt w:val="lowerLetter"/>
      <w:lvlText w:val="%8."/>
      <w:lvlJc w:val="left"/>
      <w:pPr>
        <w:ind w:left="5760" w:hanging="360"/>
      </w:pPr>
    </w:lvl>
    <w:lvl w:ilvl="8" w:tplc="300A0005" w:tentative="1">
      <w:start w:val="1"/>
      <w:numFmt w:val="lowerRoman"/>
      <w:lvlText w:val="%9."/>
      <w:lvlJc w:val="right"/>
      <w:pPr>
        <w:ind w:left="6480" w:hanging="180"/>
      </w:pPr>
    </w:lvl>
  </w:abstractNum>
  <w:abstractNum w:abstractNumId="5">
    <w:nsid w:val="6A213644"/>
    <w:multiLevelType w:val="hybridMultilevel"/>
    <w:tmpl w:val="204EBB64"/>
    <w:lvl w:ilvl="0" w:tplc="214E1F0E">
      <w:start w:val="1"/>
      <w:numFmt w:val="bullet"/>
      <w:lvlText w:val=""/>
      <w:lvlJc w:val="left"/>
      <w:pPr>
        <w:ind w:left="720" w:hanging="360"/>
      </w:pPr>
      <w:rPr>
        <w:rFonts w:ascii="Symbol" w:hAnsi="Symbol" w:hint="default"/>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6">
    <w:nsid w:val="79AF759A"/>
    <w:multiLevelType w:val="hybridMultilevel"/>
    <w:tmpl w:val="B498A72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45359"/>
    <w:rsid w:val="003011AC"/>
    <w:rsid w:val="0032225D"/>
    <w:rsid w:val="00396578"/>
    <w:rsid w:val="003B4FF8"/>
    <w:rsid w:val="00644603"/>
    <w:rsid w:val="00654B05"/>
    <w:rsid w:val="006A2F94"/>
    <w:rsid w:val="00772AF7"/>
    <w:rsid w:val="008146D6"/>
    <w:rsid w:val="008B31BA"/>
    <w:rsid w:val="008C2C72"/>
    <w:rsid w:val="00934F9B"/>
    <w:rsid w:val="00970FDE"/>
    <w:rsid w:val="00A863A9"/>
    <w:rsid w:val="00A91D30"/>
    <w:rsid w:val="00B46E89"/>
    <w:rsid w:val="00B63F68"/>
    <w:rsid w:val="00CC6E31"/>
    <w:rsid w:val="00D7162D"/>
    <w:rsid w:val="00E7510B"/>
    <w:rsid w:val="00E92FB1"/>
    <w:rsid w:val="00F45359"/>
    <w:rsid w:val="00F503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359"/>
    <w:pPr>
      <w:widowControl w:val="0"/>
      <w:spacing w:after="160" w:line="259" w:lineRule="auto"/>
      <w:contextualSpacing/>
    </w:pPr>
    <w:rPr>
      <w:rFonts w:ascii="Calibri" w:eastAsia="Calibri" w:hAnsi="Calibri" w:cs="Calibri"/>
      <w:color w:val="000000"/>
      <w:szCs w:val="20"/>
      <w:lang w:val="es-EC" w:eastAsia="es-EC"/>
    </w:rPr>
  </w:style>
  <w:style w:type="paragraph" w:styleId="Ttulo4">
    <w:name w:val="heading 4"/>
    <w:basedOn w:val="Normal"/>
    <w:next w:val="Normal"/>
    <w:link w:val="Ttulo4Car"/>
    <w:uiPriority w:val="9"/>
    <w:qFormat/>
    <w:rsid w:val="00396578"/>
    <w:pPr>
      <w:keepNext/>
      <w:keepLines/>
      <w:widowControl/>
      <w:spacing w:before="200" w:after="0"/>
      <w:contextualSpacing w:val="0"/>
      <w:outlineLvl w:val="3"/>
    </w:pPr>
    <w:rPr>
      <w:rFonts w:ascii="Cambria" w:eastAsia="Times New Roman" w:hAnsi="Cambria" w:cs="Times New Roman"/>
      <w:b/>
      <w:bCs/>
      <w:i/>
      <w:iCs/>
      <w:color w:val="4F81BD"/>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453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359"/>
    <w:rPr>
      <w:rFonts w:ascii="Tahoma" w:eastAsia="Calibri" w:hAnsi="Tahoma" w:cs="Tahoma"/>
      <w:color w:val="000000"/>
      <w:sz w:val="16"/>
      <w:szCs w:val="16"/>
      <w:lang w:val="es-EC" w:eastAsia="es-EC"/>
    </w:rPr>
  </w:style>
  <w:style w:type="paragraph" w:styleId="Encabezado">
    <w:name w:val="header"/>
    <w:basedOn w:val="Normal"/>
    <w:link w:val="EncabezadoCar"/>
    <w:uiPriority w:val="99"/>
    <w:semiHidden/>
    <w:unhideWhenUsed/>
    <w:rsid w:val="00F4535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F45359"/>
    <w:rPr>
      <w:rFonts w:ascii="Calibri" w:eastAsia="Calibri" w:hAnsi="Calibri" w:cs="Calibri"/>
      <w:color w:val="000000"/>
      <w:szCs w:val="20"/>
      <w:lang w:val="es-EC" w:eastAsia="es-EC"/>
    </w:rPr>
  </w:style>
  <w:style w:type="paragraph" w:styleId="Piedepgina">
    <w:name w:val="footer"/>
    <w:basedOn w:val="Normal"/>
    <w:link w:val="PiedepginaCar"/>
    <w:uiPriority w:val="99"/>
    <w:semiHidden/>
    <w:unhideWhenUsed/>
    <w:rsid w:val="00F4535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F45359"/>
    <w:rPr>
      <w:rFonts w:ascii="Calibri" w:eastAsia="Calibri" w:hAnsi="Calibri" w:cs="Calibri"/>
      <w:color w:val="000000"/>
      <w:szCs w:val="20"/>
      <w:lang w:val="es-EC" w:eastAsia="es-EC"/>
    </w:rPr>
  </w:style>
  <w:style w:type="paragraph" w:styleId="Sinespaciado">
    <w:name w:val="No Spacing"/>
    <w:uiPriority w:val="1"/>
    <w:qFormat/>
    <w:rsid w:val="00F45359"/>
    <w:pPr>
      <w:suppressAutoHyphens/>
      <w:spacing w:after="0" w:line="100" w:lineRule="atLeast"/>
    </w:pPr>
    <w:rPr>
      <w:rFonts w:ascii="Calibri" w:eastAsia="DejaVu Sans" w:hAnsi="Calibri" w:cs="Calibri"/>
      <w:color w:val="00000A"/>
    </w:rPr>
  </w:style>
  <w:style w:type="character" w:styleId="Hipervnculo">
    <w:name w:val="Hyperlink"/>
    <w:uiPriority w:val="99"/>
    <w:unhideWhenUsed/>
    <w:rsid w:val="00654B05"/>
    <w:rPr>
      <w:color w:val="0000FF"/>
      <w:u w:val="single"/>
    </w:rPr>
  </w:style>
  <w:style w:type="character" w:styleId="Refdenotaalpie">
    <w:name w:val="footnote reference"/>
    <w:aliases w:val="ftref,BVI fnr,BVI fnr Car Car,BVI fnr Car,BVI fnr Car Car Car Car,BVI fnr Car Car Car Car Char, BVI fnr, BVI fnr Car Car, BVI fnr Car Car Car Car, BVI fnr Car Car Car Car Char,Footnotes refss,Ref,de nota al pie,normal,f,Footnote numb"/>
    <w:link w:val="Char2"/>
    <w:uiPriority w:val="99"/>
    <w:rsid w:val="00654B05"/>
    <w:rPr>
      <w:rFonts w:cs="Times New Roman"/>
      <w:vertAlign w:val="superscript"/>
    </w:rPr>
  </w:style>
  <w:style w:type="paragraph" w:customStyle="1" w:styleId="Char2">
    <w:name w:val="Char2"/>
    <w:basedOn w:val="Normal"/>
    <w:link w:val="Refdenotaalpie"/>
    <w:uiPriority w:val="99"/>
    <w:rsid w:val="00654B05"/>
    <w:pPr>
      <w:widowControl/>
      <w:spacing w:line="240" w:lineRule="exact"/>
      <w:contextualSpacing w:val="0"/>
    </w:pPr>
    <w:rPr>
      <w:rFonts w:asciiTheme="minorHAnsi" w:eastAsiaTheme="minorHAnsi" w:hAnsiTheme="minorHAnsi" w:cs="Times New Roman"/>
      <w:color w:val="auto"/>
      <w:szCs w:val="22"/>
      <w:vertAlign w:val="superscript"/>
      <w:lang w:val="es-ES" w:eastAsia="en-US"/>
    </w:rPr>
  </w:style>
  <w:style w:type="paragraph" w:customStyle="1" w:styleId="Listavistosa-nfasis12">
    <w:name w:val="Lista vistosa - Énfasis 12"/>
    <w:basedOn w:val="Normal"/>
    <w:link w:val="Listavistosa-nfasis1Car2"/>
    <w:uiPriority w:val="99"/>
    <w:qFormat/>
    <w:rsid w:val="003B4FF8"/>
    <w:pPr>
      <w:ind w:left="720"/>
    </w:pPr>
    <w:rPr>
      <w:rFonts w:cs="Times New Roman"/>
      <w:sz w:val="20"/>
    </w:rPr>
  </w:style>
  <w:style w:type="character" w:customStyle="1" w:styleId="Listavistosa-nfasis1Car2">
    <w:name w:val="Lista vistosa - Énfasis 1 Car2"/>
    <w:link w:val="Listavistosa-nfasis12"/>
    <w:uiPriority w:val="99"/>
    <w:rsid w:val="003B4FF8"/>
    <w:rPr>
      <w:rFonts w:ascii="Calibri" w:eastAsia="Calibri" w:hAnsi="Calibri" w:cs="Times New Roman"/>
      <w:color w:val="000000"/>
      <w:sz w:val="20"/>
      <w:szCs w:val="20"/>
      <w:lang w:val="es-EC" w:eastAsia="es-EC"/>
    </w:rPr>
  </w:style>
  <w:style w:type="character" w:customStyle="1" w:styleId="Ttulo4Car">
    <w:name w:val="Título 4 Car"/>
    <w:basedOn w:val="Fuentedeprrafopredeter"/>
    <w:link w:val="Ttulo4"/>
    <w:uiPriority w:val="9"/>
    <w:rsid w:val="00396578"/>
    <w:rPr>
      <w:rFonts w:ascii="Cambria" w:eastAsia="Times New Roman" w:hAnsi="Cambria" w:cs="Times New Roman"/>
      <w:b/>
      <w:bCs/>
      <w:i/>
      <w:iCs/>
      <w:color w:val="4F81BD"/>
      <w:sz w:val="20"/>
      <w:szCs w:val="20"/>
    </w:rPr>
  </w:style>
  <w:style w:type="paragraph" w:customStyle="1" w:styleId="Cuadrculaclara-nfasis31">
    <w:name w:val="Cuadrícula clara - Énfasis 31"/>
    <w:basedOn w:val="Normal"/>
    <w:link w:val="Cuadrculaclara-nfasis3Car"/>
    <w:uiPriority w:val="99"/>
    <w:qFormat/>
    <w:rsid w:val="00396578"/>
    <w:pPr>
      <w:widowControl/>
      <w:ind w:left="720"/>
    </w:pPr>
    <w:rPr>
      <w:rFonts w:cs="Times New Roman"/>
      <w:color w:val="auto"/>
      <w:sz w:val="20"/>
    </w:rPr>
  </w:style>
  <w:style w:type="character" w:customStyle="1" w:styleId="Cuadrculaclara-nfasis3Car">
    <w:name w:val="Cuadrícula clara - Énfasis 3 Car"/>
    <w:link w:val="Cuadrculaclara-nfasis31"/>
    <w:uiPriority w:val="99"/>
    <w:rsid w:val="00396578"/>
    <w:rPr>
      <w:rFonts w:ascii="Calibri" w:eastAsia="Calibri" w:hAnsi="Calibri" w:cs="Times New Roman"/>
      <w:sz w:val="20"/>
      <w:szCs w:val="20"/>
    </w:rPr>
  </w:style>
  <w:style w:type="character" w:customStyle="1" w:styleId="TextocomentarioCar">
    <w:name w:val="Texto comentario Car"/>
    <w:link w:val="Textocomentario"/>
    <w:rsid w:val="00396578"/>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nhideWhenUsed/>
    <w:rsid w:val="00396578"/>
    <w:pPr>
      <w:widowControl/>
      <w:spacing w:beforeLines="1" w:after="0" w:line="240" w:lineRule="auto"/>
      <w:contextualSpacing w:val="0"/>
    </w:pPr>
    <w:rPr>
      <w:rFonts w:ascii="Times New Roman" w:eastAsia="Times New Roman" w:hAnsi="Times New Roman" w:cs="Times New Roman"/>
      <w:color w:val="auto"/>
      <w:sz w:val="20"/>
      <w:lang w:val="es-ES" w:eastAsia="es-ES"/>
    </w:rPr>
  </w:style>
  <w:style w:type="character" w:customStyle="1" w:styleId="TextocomentarioCar1">
    <w:name w:val="Texto comentario Car1"/>
    <w:basedOn w:val="Fuentedeprrafopredeter"/>
    <w:uiPriority w:val="99"/>
    <w:semiHidden/>
    <w:rsid w:val="00396578"/>
    <w:rPr>
      <w:rFonts w:ascii="Calibri" w:eastAsia="Calibri" w:hAnsi="Calibri" w:cs="Calibri"/>
      <w:color w:val="000000"/>
      <w:sz w:val="20"/>
      <w:szCs w:val="20"/>
      <w:lang w:val="es-EC" w:eastAsia="es-EC"/>
    </w:rPr>
  </w:style>
  <w:style w:type="paragraph" w:styleId="Textonotapie">
    <w:name w:val="footnote text"/>
    <w:aliases w:val="ft,Footnote Text Char1,Footnote Text Char Char,Char,FOOTNOTES,fn,fn Car Car,fn Car Car Car,Footnote Text Char Char1,Footnote Text Char Char Char,single space,Texto nota pie IIRSA Car,Texto nota pie IIRSA,Footnote reference,FA Fu,Ca"/>
    <w:basedOn w:val="Normal"/>
    <w:link w:val="TextonotapieCar"/>
    <w:uiPriority w:val="99"/>
    <w:unhideWhenUsed/>
    <w:rsid w:val="00396578"/>
    <w:pPr>
      <w:widowControl/>
      <w:spacing w:after="0" w:line="240" w:lineRule="auto"/>
      <w:contextualSpacing w:val="0"/>
    </w:pPr>
    <w:rPr>
      <w:rFonts w:cs="Times New Roman"/>
      <w:color w:val="auto"/>
      <w:sz w:val="20"/>
    </w:rPr>
  </w:style>
  <w:style w:type="character" w:customStyle="1" w:styleId="TextonotapieCar">
    <w:name w:val="Texto nota pie Car"/>
    <w:aliases w:val="ft Car,Footnote Text Char1 Car,Footnote Text Char Char Car,Char Car,FOOTNOTES Car,fn Car,fn Car Car Car1,fn Car Car Car Car,Footnote Text Char Char1 Car,Footnote Text Char Char Char Car,single space Car,Texto nota pie IIRSA Car Car"/>
    <w:basedOn w:val="Fuentedeprrafopredeter"/>
    <w:link w:val="Textonotapie"/>
    <w:uiPriority w:val="99"/>
    <w:rsid w:val="00396578"/>
    <w:rPr>
      <w:rFonts w:ascii="Calibri" w:eastAsia="Calibri" w:hAnsi="Calibri" w:cs="Times New Roman"/>
      <w:sz w:val="20"/>
      <w:szCs w:val="20"/>
    </w:rPr>
  </w:style>
  <w:style w:type="paragraph" w:styleId="NormalWeb">
    <w:name w:val="Normal (Web)"/>
    <w:basedOn w:val="Normal"/>
    <w:uiPriority w:val="99"/>
    <w:semiHidden/>
    <w:unhideWhenUsed/>
    <w:rsid w:val="008B31BA"/>
    <w:pPr>
      <w:widowControl/>
      <w:spacing w:before="100" w:beforeAutospacing="1" w:after="100" w:afterAutospacing="1" w:line="240" w:lineRule="auto"/>
      <w:contextualSpacing w:val="0"/>
    </w:pPr>
    <w:rPr>
      <w:rFonts w:ascii="Times New Roman" w:eastAsia="Times New Roman" w:hAnsi="Times New Roman" w:cs="Times New Roman"/>
      <w:color w:val="auto"/>
      <w:sz w:val="24"/>
      <w:szCs w:val="24"/>
    </w:rPr>
  </w:style>
  <w:style w:type="character" w:styleId="Textoennegrita">
    <w:name w:val="Strong"/>
    <w:basedOn w:val="Fuentedeprrafopredeter"/>
    <w:uiPriority w:val="22"/>
    <w:qFormat/>
    <w:rsid w:val="008B31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C" w:eastAsia="es-EC"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49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223</Words>
  <Characters>1231</Characters>
  <Application>Microsoft Office Word</Application>
  <DocSecurity>0</DocSecurity>
  <Lines>10</Lines>
  <Paragraphs>2</Paragraphs>
  <ScaleCrop>false</ScaleCrop>
  <Company>DPE</Company>
  <LinksUpToDate>false</LinksUpToDate>
  <CharactersWithSpaces>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Jaramillo</dc:creator>
  <cp:keywords/>
  <dc:description/>
  <cp:lastModifiedBy>Cintya Pamela Jaramillo Amores</cp:lastModifiedBy>
  <cp:revision>4</cp:revision>
  <dcterms:created xsi:type="dcterms:W3CDTF">2016-02-20T21:28:00Z</dcterms:created>
  <dcterms:modified xsi:type="dcterms:W3CDTF">2016-06-07T16:50:00Z</dcterms:modified>
</cp:coreProperties>
</file>